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50F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C7A0F84"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1B1F120"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627C3EFA"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388DB4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44521B0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CE481CA" w14:textId="77777777" w:rsidR="00210814" w:rsidRDefault="003B761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Salim Mohammad – 0161 357 2315</w:t>
      </w:r>
    </w:p>
    <w:p w14:paraId="0553E17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DFDB68B"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950FFAA" w14:textId="77777777" w:rsidR="003B7613" w:rsidRDefault="003B7613"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Jane Hill – LMC – 075951530417 </w:t>
      </w:r>
      <w:r w:rsidRPr="003B7613">
        <w:rPr>
          <w:rFonts w:ascii="Arial" w:hAnsi="Arial" w:cs="Arial"/>
          <w:color w:val="000000" w:themeColor="text1"/>
        </w:rPr>
        <w:t xml:space="preserve">E-mail: </w:t>
      </w:r>
      <w:hyperlink r:id="rId8" w:history="1">
        <w:r w:rsidRPr="003B7613">
          <w:rPr>
            <w:rStyle w:val="Hyperlink"/>
            <w:rFonts w:ascii="Arial" w:hAnsi="Arial" w:cs="Arial"/>
            <w:color w:val="000000" w:themeColor="text1"/>
          </w:rPr>
          <w:t>westpenninelmc@btconnect.com</w:t>
        </w:r>
      </w:hyperlink>
    </w:p>
    <w:p w14:paraId="036CD85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01B3D181"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54D81F"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6A79042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3FA202A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4D6689"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0F40E847" w14:textId="62F3F18E"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81B929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64D4219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919A38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27A34DA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EE7EBA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6248E8B1"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2213CBE2"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C81610F"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A7572FD"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6C9152C"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2B3E1AD8"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8988C7D"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5F525DD7"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5E6F76A"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AE9671"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1CCE4D7C"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317F5F1F"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7E70F044"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A8205D9" w14:textId="77777777" w:rsidTr="007B6E46">
        <w:tc>
          <w:tcPr>
            <w:tcW w:w="2243" w:type="dxa"/>
          </w:tcPr>
          <w:p w14:paraId="4DBE4FE5"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190BF35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CB97E5" w14:textId="77777777" w:rsidTr="007B6E46">
        <w:tc>
          <w:tcPr>
            <w:tcW w:w="2243" w:type="dxa"/>
          </w:tcPr>
          <w:p w14:paraId="6927421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221FCB6B"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A1B18B0" w14:textId="77777777" w:rsidTr="007B6E46">
        <w:tc>
          <w:tcPr>
            <w:tcW w:w="2243" w:type="dxa"/>
          </w:tcPr>
          <w:p w14:paraId="758F05BA"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0ADBB319"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297289BE"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7EC7CD25" w14:textId="77777777" w:rsidTr="007B6E46">
        <w:tc>
          <w:tcPr>
            <w:tcW w:w="2243" w:type="dxa"/>
          </w:tcPr>
          <w:p w14:paraId="6C8EE988"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1A1FF31"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215F62F"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2F9238B9"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796EE45"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Other local administrative purposes include waiting list management, performance against national targets, activity monitoring, local clinical audit and production of datasets to submit for national collections.</w:t>
      </w:r>
    </w:p>
    <w:p w14:paraId="143F9779"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66A2BE98"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14:paraId="00059C18" w14:textId="77777777" w:rsidTr="007B6E46">
        <w:tc>
          <w:tcPr>
            <w:tcW w:w="2243" w:type="dxa"/>
          </w:tcPr>
          <w:p w14:paraId="0C76AB8F"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FA0345D"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5D0D5E23" w14:textId="77777777" w:rsidTr="007B6E46">
        <w:tc>
          <w:tcPr>
            <w:tcW w:w="2243" w:type="dxa"/>
          </w:tcPr>
          <w:p w14:paraId="7242030E"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97C3515"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5EC14E3D" w14:textId="77777777" w:rsidTr="007B6E46">
        <w:tc>
          <w:tcPr>
            <w:tcW w:w="2243" w:type="dxa"/>
          </w:tcPr>
          <w:p w14:paraId="64E15A0D"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34488FCC"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08F11122" w14:textId="77777777" w:rsidTr="007B6E46">
        <w:tc>
          <w:tcPr>
            <w:tcW w:w="2243" w:type="dxa"/>
          </w:tcPr>
          <w:p w14:paraId="38E35ECA"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05B8430E"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32AFCCD" w14:textId="77777777"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193793">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433107D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B065B88"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4DF2527D" w14:textId="77777777" w:rsidR="00892321" w:rsidRDefault="00892321" w:rsidP="00A765F8">
      <w:pPr>
        <w:autoSpaceDE w:val="0"/>
        <w:autoSpaceDN w:val="0"/>
        <w:adjustRightInd w:val="0"/>
        <w:jc w:val="both"/>
        <w:rPr>
          <w:rFonts w:ascii="Arial" w:hAnsi="Arial" w:cs="Arial"/>
          <w:color w:val="000000"/>
          <w:lang w:val="en-GB" w:eastAsia="en-GB"/>
        </w:rPr>
      </w:pPr>
    </w:p>
    <w:p w14:paraId="64535655"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Oldham CCG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6C23DB4F"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51F338E"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60788753"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36A15D23" w14:textId="59099A7D"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14:paraId="677ECFDE"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6F974C8"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2B01DD2C"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9B55F8B" w14:textId="77777777" w:rsidTr="007B6E46">
        <w:tc>
          <w:tcPr>
            <w:tcW w:w="2243" w:type="dxa"/>
          </w:tcPr>
          <w:p w14:paraId="018EA38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58240A8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1FB9F75" w14:textId="77777777" w:rsidTr="007B6E46">
        <w:tc>
          <w:tcPr>
            <w:tcW w:w="2243" w:type="dxa"/>
          </w:tcPr>
          <w:p w14:paraId="3E1F5620"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5337E29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603BCB4B" w14:textId="77777777" w:rsidTr="007B6E46">
        <w:tc>
          <w:tcPr>
            <w:tcW w:w="2243" w:type="dxa"/>
          </w:tcPr>
          <w:p w14:paraId="4D21099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77AE27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104FCB6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52174B1" w14:textId="77777777" w:rsidTr="007B6E46">
        <w:tc>
          <w:tcPr>
            <w:tcW w:w="2243" w:type="dxa"/>
          </w:tcPr>
          <w:p w14:paraId="70F2ED03"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327B7417"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FD05A19" w14:textId="77777777" w:rsidR="00EF3874" w:rsidRDefault="00EF3874" w:rsidP="00A765F8">
      <w:pPr>
        <w:spacing w:before="100" w:beforeAutospacing="1" w:after="100" w:afterAutospacing="1"/>
        <w:jc w:val="both"/>
        <w:rPr>
          <w:rFonts w:ascii="Arial" w:hAnsi="Arial" w:cs="Arial"/>
        </w:rPr>
      </w:pPr>
    </w:p>
    <w:tbl>
      <w:tblPr>
        <w:tblW w:w="0" w:type="auto"/>
        <w:tblInd w:w="132" w:type="dxa"/>
        <w:tblCellMar>
          <w:left w:w="0" w:type="dxa"/>
          <w:right w:w="0" w:type="dxa"/>
        </w:tblCellMar>
        <w:tblLook w:val="04A0" w:firstRow="1" w:lastRow="0" w:firstColumn="1" w:lastColumn="0" w:noHBand="0" w:noVBand="1"/>
      </w:tblPr>
      <w:tblGrid>
        <w:gridCol w:w="2268"/>
        <w:gridCol w:w="7796"/>
      </w:tblGrid>
      <w:tr w:rsidR="00EF3874" w14:paraId="695FE32F" w14:textId="77777777" w:rsidTr="00EF3874">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10C2E" w14:textId="77777777" w:rsidR="00EF3874" w:rsidRPr="00EF3874" w:rsidRDefault="00EF3874">
            <w:pPr>
              <w:rPr>
                <w:rFonts w:ascii="Arial" w:hAnsi="Arial" w:cs="Arial"/>
                <w:b/>
                <w:bCs/>
                <w:color w:val="3399FF"/>
                <w:sz w:val="22"/>
                <w:szCs w:val="22"/>
                <w:lang w:val="en-GB"/>
              </w:rPr>
            </w:pPr>
            <w:r w:rsidRPr="00EF3874">
              <w:rPr>
                <w:rFonts w:ascii="Arial" w:hAnsi="Arial" w:cs="Arial"/>
                <w:b/>
                <w:bCs/>
                <w:color w:val="0070C0"/>
                <w:sz w:val="22"/>
                <w:szCs w:val="22"/>
              </w:rPr>
              <w:t>NHS South, Central and West Commissioning Support Unit – Child Health Information Services</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BD1455" w14:textId="77777777" w:rsidR="00EF3874" w:rsidRPr="00EF3874" w:rsidRDefault="00EF3874">
            <w:pPr>
              <w:jc w:val="both"/>
              <w:rPr>
                <w:rFonts w:ascii="Arial" w:hAnsi="Arial" w:cs="Arial"/>
                <w:sz w:val="22"/>
                <w:szCs w:val="22"/>
              </w:rPr>
            </w:pPr>
            <w:r w:rsidRPr="00EF3874">
              <w:rPr>
                <w:rFonts w:ascii="Arial" w:hAnsi="Arial" w:cs="Arial"/>
                <w:b/>
                <w:bCs/>
                <w:sz w:val="22"/>
                <w:szCs w:val="22"/>
              </w:rPr>
              <w:t>Purpose</w:t>
            </w:r>
            <w:r w:rsidRPr="00EF3874">
              <w:rPr>
                <w:rFonts w:ascii="Arial" w:hAnsi="Arial" w:cs="Arial"/>
                <w:sz w:val="22"/>
                <w:szCs w:val="22"/>
              </w:rPr>
              <w:t xml:space="preserve"> – Direct care.  We wish to make sure that your child has the opportunity to have immunisations and health checks when they are due and we are required to share this information with the Child Health Information Service. We share information about childhood immunisations, and the 6-8-week new baby check.  This information is automatically transferred from our Practice’s patient record system to SCW CHIS using software supplied by Apollo Medical Software Solutions Ltd.</w:t>
            </w:r>
          </w:p>
          <w:p w14:paraId="53C1CFA1" w14:textId="77777777" w:rsidR="00EF3874" w:rsidRPr="00EF3874" w:rsidRDefault="00EF3874">
            <w:pPr>
              <w:jc w:val="both"/>
              <w:rPr>
                <w:rFonts w:ascii="Arial" w:hAnsi="Arial" w:cs="Arial"/>
                <w:sz w:val="22"/>
                <w:szCs w:val="22"/>
              </w:rPr>
            </w:pPr>
          </w:p>
          <w:p w14:paraId="4D4729A8" w14:textId="77777777" w:rsidR="00EF3874" w:rsidRPr="00EF3874" w:rsidRDefault="00EF3874">
            <w:pPr>
              <w:autoSpaceDE w:val="0"/>
              <w:autoSpaceDN w:val="0"/>
              <w:rPr>
                <w:rFonts w:ascii="Arial" w:hAnsi="Arial" w:cs="Arial"/>
                <w:sz w:val="22"/>
                <w:szCs w:val="22"/>
              </w:rPr>
            </w:pPr>
            <w:r w:rsidRPr="00EF3874">
              <w:rPr>
                <w:rFonts w:ascii="Arial" w:hAnsi="Arial" w:cs="Arial"/>
                <w:b/>
                <w:bCs/>
                <w:sz w:val="22"/>
                <w:szCs w:val="22"/>
              </w:rPr>
              <w:t>GDPR Legal Basis</w:t>
            </w:r>
            <w:r w:rsidRPr="00EF3874">
              <w:rPr>
                <w:rFonts w:ascii="Arial" w:hAnsi="Arial" w:cs="Arial"/>
                <w:sz w:val="22"/>
                <w:szCs w:val="22"/>
              </w:rPr>
              <w:t xml:space="preserve"> – 6 1 (e) Public Task and 9 2 (h) </w:t>
            </w:r>
          </w:p>
          <w:p w14:paraId="3E15E786" w14:textId="77777777" w:rsidR="00EF3874" w:rsidRPr="00EF3874" w:rsidRDefault="00EF3874">
            <w:pPr>
              <w:jc w:val="both"/>
              <w:rPr>
                <w:rFonts w:ascii="Arial" w:hAnsi="Arial" w:cs="Arial"/>
                <w:sz w:val="22"/>
                <w:szCs w:val="22"/>
              </w:rPr>
            </w:pPr>
          </w:p>
        </w:tc>
      </w:tr>
    </w:tbl>
    <w:p w14:paraId="2F867814" w14:textId="671D508A"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54B95F92"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57A939AE" w14:textId="77777777" w:rsidTr="007B6E46">
        <w:tc>
          <w:tcPr>
            <w:tcW w:w="2230" w:type="dxa"/>
          </w:tcPr>
          <w:p w14:paraId="669448B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1B77FA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63E45FBD" w14:textId="77777777" w:rsidTr="007B6E46">
        <w:tc>
          <w:tcPr>
            <w:tcW w:w="2230" w:type="dxa"/>
          </w:tcPr>
          <w:p w14:paraId="1216A666"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Source of Data</w:t>
            </w:r>
          </w:p>
        </w:tc>
        <w:tc>
          <w:tcPr>
            <w:tcW w:w="7800" w:type="dxa"/>
          </w:tcPr>
          <w:p w14:paraId="09FA56E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6EDAB483" w14:textId="77777777" w:rsidTr="007B6E46">
        <w:tc>
          <w:tcPr>
            <w:tcW w:w="2230" w:type="dxa"/>
          </w:tcPr>
          <w:p w14:paraId="4B39B99D"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0092A1B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1452AF9E"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327F47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74BF2FC" w14:textId="77777777" w:rsidR="00D14259" w:rsidRDefault="00D14259" w:rsidP="00A765F8">
      <w:pPr>
        <w:autoSpaceDE w:val="0"/>
        <w:autoSpaceDN w:val="0"/>
        <w:adjustRightInd w:val="0"/>
        <w:jc w:val="both"/>
        <w:rPr>
          <w:rFonts w:ascii="Arial" w:hAnsi="Arial" w:cs="Arial"/>
          <w:color w:val="000000"/>
          <w:lang w:val="en-GB" w:eastAsia="en-GB"/>
        </w:rPr>
      </w:pPr>
    </w:p>
    <w:p w14:paraId="27576804" w14:textId="77777777" w:rsidR="000476D0" w:rsidRDefault="000476D0" w:rsidP="00A765F8">
      <w:pPr>
        <w:autoSpaceDE w:val="0"/>
        <w:autoSpaceDN w:val="0"/>
        <w:adjustRightInd w:val="0"/>
        <w:jc w:val="both"/>
        <w:rPr>
          <w:rFonts w:ascii="Arial" w:hAnsi="Arial" w:cs="Arial"/>
          <w:lang w:val="en-GB" w:eastAsia="en-GB"/>
        </w:rPr>
      </w:pPr>
    </w:p>
    <w:p w14:paraId="6FC65150" w14:textId="77777777" w:rsidR="000476D0" w:rsidRDefault="000476D0" w:rsidP="00A765F8">
      <w:pPr>
        <w:autoSpaceDE w:val="0"/>
        <w:autoSpaceDN w:val="0"/>
        <w:adjustRightInd w:val="0"/>
        <w:jc w:val="both"/>
        <w:rPr>
          <w:rFonts w:ascii="Arial" w:hAnsi="Arial" w:cs="Arial"/>
          <w:lang w:val="en-GB" w:eastAsia="en-GB"/>
        </w:rPr>
      </w:pPr>
    </w:p>
    <w:p w14:paraId="17B58EE2" w14:textId="5F3E300D"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2B3725B5"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DAE4DAB"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2E68CD0"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01B4C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013224E" w14:textId="77777777" w:rsidR="00D14259" w:rsidRDefault="00D14259" w:rsidP="00A765F8">
      <w:pPr>
        <w:autoSpaceDE w:val="0"/>
        <w:autoSpaceDN w:val="0"/>
        <w:adjustRightInd w:val="0"/>
        <w:jc w:val="both"/>
        <w:rPr>
          <w:rFonts w:ascii="Arial" w:hAnsi="Arial" w:cs="Arial"/>
          <w:color w:val="000000"/>
          <w:lang w:val="en-GB" w:eastAsia="en-GB"/>
        </w:rPr>
      </w:pPr>
    </w:p>
    <w:p w14:paraId="4917C05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F3B78D7"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797ADC5"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253CC6">
        <w:rPr>
          <w:rFonts w:ascii="Arial" w:hAnsi="Arial" w:cs="Arial"/>
          <w:color w:val="000000"/>
          <w:lang w:val="en-GB" w:eastAsia="en-GB"/>
        </w:rPr>
        <w:t>jane Hill</w:t>
      </w:r>
      <w:r w:rsidR="009D6B53">
        <w:rPr>
          <w:rFonts w:ascii="Arial" w:hAnsi="Arial" w:cs="Arial"/>
          <w:color w:val="000000"/>
          <w:lang w:val="en-GB" w:eastAsia="en-GB"/>
        </w:rPr>
        <w:t xml:space="preserve"> and CCG BI team.</w:t>
      </w:r>
    </w:p>
    <w:p w14:paraId="30F213FE"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51F5BE4E"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14:paraId="766D5645" w14:textId="77777777" w:rsidTr="007B6E46">
        <w:trPr>
          <w:trHeight w:val="971"/>
        </w:trPr>
        <w:tc>
          <w:tcPr>
            <w:tcW w:w="2230" w:type="dxa"/>
          </w:tcPr>
          <w:p w14:paraId="5B9297AB"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Type of Data</w:t>
            </w:r>
          </w:p>
        </w:tc>
        <w:tc>
          <w:tcPr>
            <w:tcW w:w="7800" w:type="dxa"/>
          </w:tcPr>
          <w:p w14:paraId="21D15317"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9749D4E" w14:textId="77777777" w:rsidTr="007B6E46">
        <w:tc>
          <w:tcPr>
            <w:tcW w:w="2230" w:type="dxa"/>
          </w:tcPr>
          <w:p w14:paraId="5B9388C1"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5F23F56"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3AE391D" w14:textId="77777777" w:rsidTr="007B6E46">
        <w:tc>
          <w:tcPr>
            <w:tcW w:w="2230" w:type="dxa"/>
          </w:tcPr>
          <w:p w14:paraId="09C3BC17"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513707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5CF0C61"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31ABC15"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6DD1CBF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48A0EE2"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5ED5EB05" w14:textId="77777777" w:rsidTr="007B6E46">
        <w:trPr>
          <w:trHeight w:val="543"/>
        </w:trPr>
        <w:tc>
          <w:tcPr>
            <w:tcW w:w="2230" w:type="dxa"/>
          </w:tcPr>
          <w:p w14:paraId="5F69B34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50F164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06BF851" w14:textId="77777777" w:rsidTr="007B6E46">
        <w:tc>
          <w:tcPr>
            <w:tcW w:w="2230" w:type="dxa"/>
          </w:tcPr>
          <w:p w14:paraId="4FA6013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E88C7F6"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43446C6C" w14:textId="77777777" w:rsidTr="007B6E46">
        <w:tc>
          <w:tcPr>
            <w:tcW w:w="2230" w:type="dxa"/>
          </w:tcPr>
          <w:p w14:paraId="59220DFF"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0A7FCFEC"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45853DE"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2B96624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3003B09" w14:textId="77777777" w:rsidR="00E32E31" w:rsidRDefault="00E32E31" w:rsidP="00E32E31">
      <w:pPr>
        <w:autoSpaceDE w:val="0"/>
        <w:autoSpaceDN w:val="0"/>
        <w:adjustRightInd w:val="0"/>
        <w:jc w:val="both"/>
        <w:rPr>
          <w:rFonts w:ascii="Arial" w:hAnsi="Arial" w:cs="Arial"/>
          <w:color w:val="000000"/>
          <w:lang w:val="en-GB" w:eastAsia="en-GB"/>
        </w:rPr>
      </w:pPr>
    </w:p>
    <w:p w14:paraId="2AE58CE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435B6271" w14:textId="77777777" w:rsidR="00CC0F64" w:rsidRPr="00CC0F64" w:rsidRDefault="00CC0F64" w:rsidP="00CC0F64">
      <w:pPr>
        <w:pStyle w:val="Default0"/>
        <w:jc w:val="both"/>
        <w:rPr>
          <w:rFonts w:ascii="Arial" w:hAnsi="Arial" w:cs="Arial"/>
          <w:bCs/>
          <w:color w:val="auto"/>
        </w:rPr>
      </w:pPr>
    </w:p>
    <w:p w14:paraId="23DC71C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w:t>
      </w:r>
      <w:r w:rsidRPr="00CC0F64">
        <w:rPr>
          <w:rFonts w:ascii="Arial" w:hAnsi="Arial" w:cs="Arial"/>
          <w:bCs/>
          <w:color w:val="auto"/>
        </w:rPr>
        <w:lastRenderedPageBreak/>
        <w:t>charities. The research sponsor decides what information will be collected for the study and how it will be used.</w:t>
      </w:r>
    </w:p>
    <w:p w14:paraId="78FBA267" w14:textId="77777777" w:rsidR="00996E51" w:rsidRDefault="00996E51" w:rsidP="00CC0F64">
      <w:pPr>
        <w:pStyle w:val="Default0"/>
        <w:jc w:val="both"/>
        <w:rPr>
          <w:rFonts w:ascii="Arial" w:hAnsi="Arial" w:cs="Arial"/>
          <w:bCs/>
          <w:color w:val="auto"/>
        </w:rPr>
      </w:pPr>
    </w:p>
    <w:p w14:paraId="689231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4B78F49D" w14:textId="77777777" w:rsidR="00CC0F64" w:rsidRPr="00E474F2" w:rsidRDefault="00CC0F64" w:rsidP="00CC0F64">
      <w:pPr>
        <w:pStyle w:val="Default0"/>
        <w:jc w:val="both"/>
        <w:rPr>
          <w:rFonts w:ascii="Arial" w:hAnsi="Arial" w:cs="Arial"/>
          <w:b/>
          <w:color w:val="548DD4" w:themeColor="text2" w:themeTint="99"/>
        </w:rPr>
      </w:pPr>
    </w:p>
    <w:p w14:paraId="7A4D0EFC" w14:textId="77777777" w:rsidR="00CC0F64" w:rsidRPr="00E474F2" w:rsidRDefault="00CC0F64" w:rsidP="00CC0F64">
      <w:pPr>
        <w:pStyle w:val="Default0"/>
        <w:jc w:val="both"/>
        <w:rPr>
          <w:rFonts w:ascii="Arial" w:hAnsi="Arial" w:cs="Arial"/>
          <w:b/>
          <w:color w:val="548DD4" w:themeColor="text2" w:themeTint="99"/>
        </w:rPr>
      </w:pPr>
      <w:r w:rsidRPr="00E474F2">
        <w:rPr>
          <w:rFonts w:ascii="Arial" w:hAnsi="Arial" w:cs="Arial"/>
          <w:b/>
          <w:color w:val="548DD4" w:themeColor="text2" w:themeTint="99"/>
        </w:rPr>
        <w:t>How patient information may be used for research</w:t>
      </w:r>
    </w:p>
    <w:p w14:paraId="7944E596" w14:textId="77777777" w:rsidR="00CC0F64" w:rsidRPr="00CC0F64" w:rsidRDefault="00CC0F64" w:rsidP="00CC0F64">
      <w:pPr>
        <w:pStyle w:val="Default0"/>
        <w:jc w:val="both"/>
        <w:rPr>
          <w:rFonts w:ascii="Arial" w:hAnsi="Arial" w:cs="Arial"/>
          <w:bCs/>
          <w:color w:val="auto"/>
        </w:rPr>
      </w:pPr>
    </w:p>
    <w:p w14:paraId="6328981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75E7F4C" w14:textId="77777777" w:rsidR="00CC0F64" w:rsidRPr="00CC0F64" w:rsidRDefault="00CC0F64" w:rsidP="00CC0F64">
      <w:pPr>
        <w:pStyle w:val="Default0"/>
        <w:jc w:val="both"/>
        <w:rPr>
          <w:rFonts w:ascii="Arial" w:hAnsi="Arial" w:cs="Arial"/>
          <w:bCs/>
          <w:color w:val="auto"/>
        </w:rPr>
      </w:pPr>
    </w:p>
    <w:p w14:paraId="6F46462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5FDFAD7" w14:textId="77777777" w:rsidR="00B31554" w:rsidRDefault="00B31554" w:rsidP="00CC0F64">
      <w:pPr>
        <w:pStyle w:val="Default0"/>
        <w:jc w:val="both"/>
        <w:rPr>
          <w:rFonts w:ascii="Arial" w:hAnsi="Arial" w:cs="Arial"/>
          <w:bCs/>
          <w:color w:val="auto"/>
        </w:rPr>
      </w:pPr>
    </w:p>
    <w:p w14:paraId="2B8CFE9F"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5B10DE9F" w14:textId="77777777" w:rsidR="00B31554" w:rsidRDefault="00B31554" w:rsidP="00CC0F64">
      <w:pPr>
        <w:pStyle w:val="Default0"/>
        <w:jc w:val="both"/>
        <w:rPr>
          <w:rFonts w:ascii="Arial" w:hAnsi="Arial" w:cs="Arial"/>
          <w:bCs/>
          <w:color w:val="auto"/>
        </w:rPr>
      </w:pPr>
    </w:p>
    <w:p w14:paraId="313950D4" w14:textId="77777777" w:rsidR="00CC0F64" w:rsidRPr="00EF3874" w:rsidRDefault="00CC0F64" w:rsidP="00CC0F64">
      <w:pPr>
        <w:pStyle w:val="Default0"/>
        <w:jc w:val="both"/>
        <w:rPr>
          <w:rFonts w:ascii="Arial" w:hAnsi="Arial" w:cs="Arial"/>
          <w:b/>
          <w:color w:val="auto"/>
          <w:u w:val="single"/>
        </w:rPr>
      </w:pPr>
      <w:r w:rsidRPr="00EF3874">
        <w:rPr>
          <w:rFonts w:ascii="Arial" w:hAnsi="Arial" w:cs="Arial"/>
          <w:b/>
          <w:color w:val="auto"/>
          <w:u w:val="single"/>
        </w:rPr>
        <w:t>Your choices about health and care research</w:t>
      </w:r>
    </w:p>
    <w:p w14:paraId="7EDEB166" w14:textId="77777777" w:rsidR="00CC0F64" w:rsidRPr="00CC0F64" w:rsidRDefault="00CC0F64" w:rsidP="00CC0F64">
      <w:pPr>
        <w:pStyle w:val="Default0"/>
        <w:jc w:val="both"/>
        <w:rPr>
          <w:rFonts w:ascii="Arial" w:hAnsi="Arial" w:cs="Arial"/>
          <w:bCs/>
          <w:color w:val="auto"/>
        </w:rPr>
      </w:pPr>
    </w:p>
    <w:p w14:paraId="404894D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B82961B" w14:textId="77777777" w:rsidR="00CC0F64" w:rsidRPr="00CC0F64" w:rsidRDefault="00CC0F64" w:rsidP="00CC0F64">
      <w:pPr>
        <w:pStyle w:val="Default0"/>
        <w:jc w:val="both"/>
        <w:rPr>
          <w:rFonts w:ascii="Arial" w:hAnsi="Arial" w:cs="Arial"/>
          <w:bCs/>
          <w:color w:val="auto"/>
        </w:rPr>
      </w:pPr>
    </w:p>
    <w:p w14:paraId="1BC564C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EB7C708" w14:textId="77777777" w:rsidR="00CC0F64" w:rsidRPr="00CC0F64" w:rsidRDefault="00CC0F64" w:rsidP="00CC0F64">
      <w:pPr>
        <w:pStyle w:val="Default0"/>
        <w:jc w:val="both"/>
        <w:rPr>
          <w:rFonts w:ascii="Arial" w:hAnsi="Arial" w:cs="Arial"/>
          <w:bCs/>
          <w:color w:val="auto"/>
        </w:rPr>
      </w:pPr>
    </w:p>
    <w:p w14:paraId="6B5B8C91" w14:textId="77777777" w:rsidR="00996E51" w:rsidRDefault="00996E51" w:rsidP="00CC0F64">
      <w:pPr>
        <w:pStyle w:val="Default0"/>
        <w:jc w:val="both"/>
        <w:rPr>
          <w:rFonts w:ascii="Arial" w:hAnsi="Arial" w:cs="Arial"/>
          <w:bCs/>
          <w:color w:val="auto"/>
        </w:rPr>
      </w:pPr>
    </w:p>
    <w:p w14:paraId="322C90E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2BF11D4" w14:textId="77777777" w:rsidR="00CC0F64" w:rsidRPr="00CC0F64" w:rsidRDefault="00CC0F64" w:rsidP="00CC0F64">
      <w:pPr>
        <w:pStyle w:val="Default0"/>
        <w:jc w:val="both"/>
        <w:rPr>
          <w:rFonts w:ascii="Arial" w:hAnsi="Arial" w:cs="Arial"/>
          <w:bCs/>
          <w:color w:val="auto"/>
        </w:rPr>
      </w:pPr>
    </w:p>
    <w:p w14:paraId="271BE9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74CC4FD0" w14:textId="77777777" w:rsidR="00CC0F64" w:rsidRDefault="00EF3874"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5D1EC5D0" w14:textId="77777777" w:rsidR="00B31554" w:rsidRPr="00CC0F64" w:rsidRDefault="00B31554" w:rsidP="00CC0F64">
      <w:pPr>
        <w:pStyle w:val="Default0"/>
        <w:jc w:val="both"/>
        <w:rPr>
          <w:rFonts w:ascii="Arial" w:hAnsi="Arial" w:cs="Arial"/>
          <w:bCs/>
          <w:color w:val="auto"/>
        </w:rPr>
      </w:pPr>
    </w:p>
    <w:p w14:paraId="0097A218"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54322AEA"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23A535B1" w14:textId="77777777" w:rsidR="00B31554" w:rsidRDefault="00EF3874"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14098EB6" w14:textId="77777777" w:rsidR="00B31554" w:rsidRDefault="00B31554" w:rsidP="00CC0F64">
      <w:pPr>
        <w:pStyle w:val="Default0"/>
        <w:jc w:val="both"/>
        <w:rPr>
          <w:rFonts w:ascii="Arial" w:hAnsi="Arial" w:cs="Arial"/>
          <w:bCs/>
          <w:color w:val="auto"/>
        </w:rPr>
      </w:pPr>
    </w:p>
    <w:p w14:paraId="4DB4939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238DE50A" w14:textId="77777777" w:rsidR="00CC0F64" w:rsidRPr="00CC0F64" w:rsidRDefault="00CC0F64" w:rsidP="00CC0F64">
      <w:pPr>
        <w:pStyle w:val="Default0"/>
        <w:jc w:val="both"/>
        <w:rPr>
          <w:rFonts w:ascii="Arial" w:hAnsi="Arial" w:cs="Arial"/>
          <w:bCs/>
          <w:color w:val="auto"/>
        </w:rPr>
      </w:pPr>
    </w:p>
    <w:p w14:paraId="15986F6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13F76452" w14:textId="77777777" w:rsidR="00CC0F64" w:rsidRDefault="00CC0F64" w:rsidP="002C3FBA">
      <w:pPr>
        <w:pStyle w:val="Default0"/>
        <w:suppressAutoHyphens/>
        <w:adjustRightInd/>
        <w:jc w:val="both"/>
        <w:textAlignment w:val="baseline"/>
        <w:rPr>
          <w:rFonts w:ascii="Arial" w:hAnsi="Arial" w:cs="Arial"/>
          <w:bCs/>
          <w:color w:val="auto"/>
        </w:rPr>
      </w:pPr>
    </w:p>
    <w:p w14:paraId="14D0485A" w14:textId="77777777" w:rsidR="00CC0F64" w:rsidRDefault="00EF3874"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15745EC5" w14:textId="77777777" w:rsidR="00CC0F64" w:rsidRDefault="00CC0F64" w:rsidP="002C3FBA">
      <w:pPr>
        <w:pStyle w:val="Default0"/>
        <w:suppressAutoHyphens/>
        <w:adjustRightInd/>
        <w:jc w:val="both"/>
        <w:textAlignment w:val="baseline"/>
        <w:rPr>
          <w:rFonts w:ascii="Arial" w:hAnsi="Arial" w:cs="Arial"/>
          <w:bCs/>
          <w:color w:val="auto"/>
        </w:rPr>
      </w:pPr>
    </w:p>
    <w:p w14:paraId="2C645647"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204EA9CD" w14:textId="77777777" w:rsidR="00CC0F64" w:rsidRPr="00CC0F64" w:rsidRDefault="00CC0F64" w:rsidP="002C3FBA">
      <w:pPr>
        <w:pStyle w:val="Default0"/>
        <w:suppressAutoHyphens/>
        <w:adjustRightInd/>
        <w:jc w:val="both"/>
        <w:textAlignment w:val="baseline"/>
        <w:rPr>
          <w:rFonts w:ascii="Arial" w:hAnsi="Arial" w:cs="Arial"/>
        </w:rPr>
      </w:pPr>
    </w:p>
    <w:p w14:paraId="04D4E64F"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79D17248" w14:textId="77777777" w:rsidTr="007B6E46">
        <w:trPr>
          <w:trHeight w:val="543"/>
        </w:trPr>
        <w:tc>
          <w:tcPr>
            <w:tcW w:w="2230" w:type="dxa"/>
          </w:tcPr>
          <w:p w14:paraId="76940717"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27E0E5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D582C38" w14:textId="77777777" w:rsidTr="007B6E46">
        <w:tc>
          <w:tcPr>
            <w:tcW w:w="2230" w:type="dxa"/>
          </w:tcPr>
          <w:p w14:paraId="731A2DFD"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E632A3C"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1D9A35B5" w14:textId="77777777" w:rsidTr="007B6E46">
        <w:tc>
          <w:tcPr>
            <w:tcW w:w="2230" w:type="dxa"/>
          </w:tcPr>
          <w:p w14:paraId="4AA533D0"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EC199BD"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433C612"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7142754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400B1F9E"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5C8D974" w14:textId="77777777" w:rsidR="00875E13"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w:t>
      </w:r>
    </w:p>
    <w:p w14:paraId="054ADD95" w14:textId="77777777" w:rsidR="00875E13" w:rsidRDefault="00875E13" w:rsidP="00E32E31">
      <w:pPr>
        <w:autoSpaceDE w:val="0"/>
        <w:autoSpaceDN w:val="0"/>
        <w:adjustRightInd w:val="0"/>
        <w:jc w:val="both"/>
        <w:rPr>
          <w:rFonts w:ascii="Arial" w:hAnsi="Arial" w:cs="Arial"/>
          <w:color w:val="000000"/>
          <w:lang w:val="en-GB" w:eastAsia="en-GB"/>
        </w:rPr>
      </w:pPr>
    </w:p>
    <w:p w14:paraId="24235793"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lastRenderedPageBreak/>
        <w:t xml:space="preserve">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AE36FF3"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024ABD69"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44D0FDBA" w14:textId="77777777" w:rsidR="000476D0" w:rsidRDefault="000476D0" w:rsidP="00A765F8">
      <w:pPr>
        <w:spacing w:before="100" w:beforeAutospacing="1" w:after="100" w:afterAutospacing="1"/>
        <w:jc w:val="both"/>
        <w:rPr>
          <w:rFonts w:ascii="Arial" w:hAnsi="Arial" w:cs="Arial"/>
          <w:b/>
          <w:color w:val="000000"/>
          <w:lang w:val="en-GB" w:eastAsia="en-GB"/>
        </w:rPr>
      </w:pPr>
    </w:p>
    <w:p w14:paraId="17D9235E" w14:textId="77777777" w:rsidR="000476D0" w:rsidRDefault="000476D0" w:rsidP="00A765F8">
      <w:pPr>
        <w:spacing w:before="100" w:beforeAutospacing="1" w:after="100" w:afterAutospacing="1"/>
        <w:jc w:val="both"/>
        <w:rPr>
          <w:rFonts w:ascii="Arial" w:hAnsi="Arial" w:cs="Arial"/>
          <w:b/>
          <w:color w:val="000000"/>
          <w:lang w:val="en-GB" w:eastAsia="en-GB"/>
        </w:rPr>
      </w:pPr>
    </w:p>
    <w:p w14:paraId="1248B477" w14:textId="77777777" w:rsidR="000476D0" w:rsidRDefault="000476D0" w:rsidP="00A765F8">
      <w:pPr>
        <w:spacing w:before="100" w:beforeAutospacing="1" w:after="100" w:afterAutospacing="1"/>
        <w:jc w:val="both"/>
        <w:rPr>
          <w:rFonts w:ascii="Arial" w:hAnsi="Arial" w:cs="Arial"/>
          <w:b/>
          <w:color w:val="000000"/>
          <w:lang w:val="en-GB" w:eastAsia="en-GB"/>
        </w:rPr>
      </w:pPr>
    </w:p>
    <w:p w14:paraId="5279CF82" w14:textId="77777777" w:rsidR="000476D0" w:rsidRDefault="000476D0" w:rsidP="00A765F8">
      <w:pPr>
        <w:spacing w:before="100" w:beforeAutospacing="1" w:after="100" w:afterAutospacing="1"/>
        <w:jc w:val="both"/>
        <w:rPr>
          <w:rFonts w:ascii="Arial" w:hAnsi="Arial" w:cs="Arial"/>
          <w:b/>
          <w:color w:val="000000"/>
          <w:lang w:val="en-GB" w:eastAsia="en-GB"/>
        </w:rPr>
      </w:pPr>
    </w:p>
    <w:p w14:paraId="085109A3" w14:textId="0A3FF3D4"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9DF627A" w14:textId="77777777" w:rsidTr="00814FB4">
        <w:trPr>
          <w:trHeight w:val="321"/>
        </w:trPr>
        <w:tc>
          <w:tcPr>
            <w:tcW w:w="2338" w:type="dxa"/>
          </w:tcPr>
          <w:p w14:paraId="27EB774E"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F4CA19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89C363C" w14:textId="77777777" w:rsidTr="00A765F8">
        <w:tc>
          <w:tcPr>
            <w:tcW w:w="2338" w:type="dxa"/>
          </w:tcPr>
          <w:p w14:paraId="59D1AAE3"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B95B060"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71FD48F6" w14:textId="77777777" w:rsidTr="00A765F8">
        <w:tc>
          <w:tcPr>
            <w:tcW w:w="2338" w:type="dxa"/>
          </w:tcPr>
          <w:p w14:paraId="3BD949BA"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9EE4BAD"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5D9DCEC"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CE4EF8B"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5C669CF"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77D5FA8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6F8B5BA"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6E6092AF"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09E835EB" w14:textId="77777777" w:rsidR="00444F1A" w:rsidRDefault="00444F1A" w:rsidP="00A765F8">
      <w:pPr>
        <w:pStyle w:val="NoSpacing"/>
        <w:jc w:val="both"/>
        <w:rPr>
          <w:rFonts w:ascii="Arial" w:hAnsi="Arial" w:cs="Arial"/>
          <w:lang w:val="en-GB" w:eastAsia="en-GB"/>
        </w:rPr>
      </w:pPr>
    </w:p>
    <w:p w14:paraId="33085695"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14:paraId="61EE6AD8"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4CAA4340" wp14:editId="3AE2CB03">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5BCB5"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FA5363C" w14:textId="77777777" w:rsidR="007B6E46" w:rsidRPr="00B31554" w:rsidRDefault="007B6E46" w:rsidP="00B31554">
      <w:pPr>
        <w:pStyle w:val="NoSpacing"/>
        <w:jc w:val="both"/>
        <w:rPr>
          <w:rFonts w:ascii="Arial" w:hAnsi="Arial" w:cs="Arial"/>
          <w:lang w:val="en-GB" w:eastAsia="en-GB"/>
        </w:rPr>
      </w:pPr>
    </w:p>
    <w:p w14:paraId="701E646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58FE9DA1" w14:textId="77777777" w:rsidR="00B31554" w:rsidRPr="00B31554" w:rsidRDefault="00B31554" w:rsidP="00B31554">
      <w:pPr>
        <w:pStyle w:val="NoSpacing"/>
        <w:jc w:val="both"/>
        <w:rPr>
          <w:rFonts w:ascii="Arial" w:hAnsi="Arial" w:cs="Arial"/>
          <w:lang w:val="en-GB" w:eastAsia="en-GB"/>
        </w:rPr>
      </w:pPr>
    </w:p>
    <w:p w14:paraId="3AF21E01"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7575D12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3E56EE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53DC748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4B6E318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D6E2E5A" w14:textId="77777777" w:rsidR="00B31554" w:rsidRPr="00B31554" w:rsidRDefault="00B31554" w:rsidP="00B31554">
      <w:pPr>
        <w:pStyle w:val="NoSpacing"/>
        <w:jc w:val="both"/>
        <w:rPr>
          <w:rFonts w:ascii="Arial" w:hAnsi="Arial" w:cs="Arial"/>
          <w:lang w:val="en-GB" w:eastAsia="en-GB"/>
        </w:rPr>
      </w:pPr>
    </w:p>
    <w:p w14:paraId="66F522A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53EAF4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0D78F30" w14:textId="77777777" w:rsidR="00B31554" w:rsidRPr="00B31554" w:rsidRDefault="00B31554" w:rsidP="00B31554">
      <w:pPr>
        <w:pStyle w:val="NoSpacing"/>
        <w:jc w:val="both"/>
        <w:rPr>
          <w:rFonts w:ascii="Arial" w:hAnsi="Arial" w:cs="Arial"/>
          <w:lang w:val="en-GB" w:eastAsia="en-GB"/>
        </w:rPr>
      </w:pPr>
    </w:p>
    <w:p w14:paraId="589CEE1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1766D767" w14:textId="77777777" w:rsidR="007B6E46" w:rsidRPr="00B31554" w:rsidRDefault="007B6E46" w:rsidP="00B31554">
      <w:pPr>
        <w:pStyle w:val="NoSpacing"/>
        <w:jc w:val="both"/>
        <w:rPr>
          <w:rFonts w:ascii="Arial" w:hAnsi="Arial" w:cs="Arial"/>
          <w:lang w:val="en-GB" w:eastAsia="en-GB"/>
        </w:rPr>
      </w:pPr>
    </w:p>
    <w:p w14:paraId="5F62453C"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806FF30" w14:textId="77777777" w:rsidR="007B6E46" w:rsidRDefault="00EF3874"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14:paraId="1F78BFF6" w14:textId="77777777" w:rsidR="007B6E46" w:rsidRDefault="007B6E46" w:rsidP="00B31554">
      <w:pPr>
        <w:pStyle w:val="NoSpacing"/>
        <w:jc w:val="both"/>
        <w:rPr>
          <w:rFonts w:ascii="Arial" w:hAnsi="Arial" w:cs="Arial"/>
          <w:lang w:val="en-GB" w:eastAsia="en-GB"/>
        </w:rPr>
      </w:pPr>
    </w:p>
    <w:p w14:paraId="76690CF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7226BD1" w14:textId="77777777" w:rsidR="007B6E46" w:rsidRPr="00B31554" w:rsidRDefault="007B6E46" w:rsidP="00B31554">
      <w:pPr>
        <w:pStyle w:val="NoSpacing"/>
        <w:jc w:val="both"/>
        <w:rPr>
          <w:rFonts w:ascii="Arial" w:hAnsi="Arial" w:cs="Arial"/>
          <w:lang w:val="en-GB" w:eastAsia="en-GB"/>
        </w:rPr>
      </w:pPr>
    </w:p>
    <w:p w14:paraId="3E8F0AE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10A2929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47DF888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58631D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6832A37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79B5624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3E87D5B2" w14:textId="77777777" w:rsidR="00875E13" w:rsidRPr="00B31554" w:rsidRDefault="00875E13" w:rsidP="00875E13">
      <w:pPr>
        <w:pStyle w:val="NoSpacing"/>
        <w:ind w:left="1440"/>
        <w:jc w:val="both"/>
        <w:rPr>
          <w:rFonts w:ascii="Arial" w:hAnsi="Arial" w:cs="Arial"/>
          <w:lang w:val="en-GB" w:eastAsia="en-GB"/>
        </w:rPr>
      </w:pPr>
    </w:p>
    <w:p w14:paraId="7C1DE567"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21F69529" w14:textId="77777777" w:rsidR="00875E13" w:rsidRPr="00B31554" w:rsidRDefault="00875E13" w:rsidP="00875E13">
      <w:pPr>
        <w:pStyle w:val="NoSpacing"/>
        <w:ind w:left="1440"/>
        <w:jc w:val="both"/>
        <w:rPr>
          <w:rFonts w:ascii="Arial" w:hAnsi="Arial" w:cs="Arial"/>
          <w:lang w:val="en-GB" w:eastAsia="en-GB"/>
        </w:rPr>
      </w:pPr>
    </w:p>
    <w:p w14:paraId="0BC4F96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E9F8330" w14:textId="77777777" w:rsidR="00B31554" w:rsidRPr="00B31554" w:rsidRDefault="00B31554" w:rsidP="00B31554">
      <w:pPr>
        <w:pStyle w:val="NoSpacing"/>
        <w:jc w:val="both"/>
        <w:rPr>
          <w:rFonts w:ascii="Arial" w:hAnsi="Arial" w:cs="Arial"/>
          <w:lang w:val="en-GB" w:eastAsia="en-GB"/>
        </w:rPr>
      </w:pPr>
    </w:p>
    <w:p w14:paraId="68787B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1255274" w14:textId="77777777" w:rsidR="007B6E46" w:rsidRPr="00B31554" w:rsidRDefault="007B6E46" w:rsidP="00B31554">
      <w:pPr>
        <w:pStyle w:val="NoSpacing"/>
        <w:jc w:val="both"/>
        <w:rPr>
          <w:rFonts w:ascii="Arial" w:hAnsi="Arial" w:cs="Arial"/>
          <w:lang w:val="en-GB" w:eastAsia="en-GB"/>
        </w:rPr>
      </w:pPr>
    </w:p>
    <w:p w14:paraId="3FD91E42" w14:textId="77777777" w:rsidR="007B6E46" w:rsidRDefault="00EF3874"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6A9608" w14:textId="77777777" w:rsidR="007B6E46" w:rsidRDefault="007B6E46" w:rsidP="00B31554">
      <w:pPr>
        <w:pStyle w:val="NoSpacing"/>
        <w:jc w:val="both"/>
        <w:rPr>
          <w:rFonts w:ascii="Arial" w:hAnsi="Arial" w:cs="Arial"/>
          <w:lang w:val="en-GB" w:eastAsia="en-GB"/>
        </w:rPr>
      </w:pPr>
    </w:p>
    <w:p w14:paraId="1F0A726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ED35D16" w14:textId="77777777" w:rsidR="007B6E46" w:rsidRPr="00B31554" w:rsidRDefault="007B6E46" w:rsidP="00B31554">
      <w:pPr>
        <w:pStyle w:val="NoSpacing"/>
        <w:jc w:val="both"/>
        <w:rPr>
          <w:rFonts w:ascii="Arial" w:hAnsi="Arial" w:cs="Arial"/>
          <w:lang w:val="en-GB" w:eastAsia="en-GB"/>
        </w:rPr>
      </w:pPr>
    </w:p>
    <w:p w14:paraId="3DA71160" w14:textId="77777777" w:rsidR="00B31554" w:rsidRPr="00B31554" w:rsidRDefault="00EF3874"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4D52576E" w14:textId="77777777" w:rsidR="00B31554" w:rsidRPr="00B31554" w:rsidRDefault="00B31554" w:rsidP="00B31554">
      <w:pPr>
        <w:pStyle w:val="NoSpacing"/>
        <w:jc w:val="both"/>
        <w:rPr>
          <w:rFonts w:ascii="Arial" w:hAnsi="Arial" w:cs="Arial"/>
          <w:lang w:val="en-GB" w:eastAsia="en-GB"/>
        </w:rPr>
      </w:pPr>
    </w:p>
    <w:p w14:paraId="6AF102B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3B01BB3C" w14:textId="77777777" w:rsidR="00B31554" w:rsidRPr="00B31554" w:rsidRDefault="00B31554" w:rsidP="00B31554">
      <w:pPr>
        <w:pStyle w:val="NoSpacing"/>
        <w:jc w:val="both"/>
        <w:rPr>
          <w:rFonts w:ascii="Arial" w:hAnsi="Arial" w:cs="Arial"/>
          <w:lang w:val="en-GB" w:eastAsia="en-GB"/>
        </w:rPr>
      </w:pPr>
    </w:p>
    <w:p w14:paraId="4C78D2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523AD7EF" w14:textId="77777777" w:rsidR="00B31554" w:rsidRPr="00B31554" w:rsidRDefault="00B31554" w:rsidP="00B31554">
      <w:pPr>
        <w:pStyle w:val="NoSpacing"/>
        <w:jc w:val="both"/>
        <w:rPr>
          <w:rFonts w:ascii="Arial" w:hAnsi="Arial" w:cs="Arial"/>
          <w:lang w:val="en-GB" w:eastAsia="en-GB"/>
        </w:rPr>
      </w:pPr>
    </w:p>
    <w:p w14:paraId="367ADC2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Pr="00362BDF">
        <w:rPr>
          <w:rFonts w:ascii="Arial" w:hAnsi="Arial" w:cs="Arial"/>
          <w:lang w:val="en-GB" w:eastAsia="en-GB"/>
        </w:rPr>
        <w:t xml:space="preserve">is </w:t>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14:paraId="225C35A2"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682588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18BE4C1"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ED3773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51903352" w14:textId="77777777"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3A607F4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4ACF674E"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11BB0969"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 xml:space="preserve">Records Management NHS Code </w:t>
        </w:r>
        <w:r w:rsidRPr="00210814">
          <w:rPr>
            <w:rStyle w:val="Hyperlink"/>
            <w:rFonts w:ascii="Arial" w:hAnsi="Arial" w:cs="Arial"/>
            <w:lang w:val="en-GB" w:eastAsia="en-GB"/>
          </w:rPr>
          <w:lastRenderedPageBreak/>
          <w:t>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4F64AE1A"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6477F4AF"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68F2C43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FF3C52">
        <w:rPr>
          <w:rFonts w:ascii="Arial" w:hAnsi="Arial" w:cs="Arial"/>
          <w:lang w:val="en-GB" w:eastAsia="en-GB"/>
        </w:rPr>
        <w:t xml:space="preserve">‘Shred It’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445EB911"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6218D6F3"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54E2C429"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00EE8C68" w14:textId="6DFB185E"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A8D3358"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75F78E5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351C56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1B33386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70679F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E81D05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0521C09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AE642C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E9D025E"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870B8F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77506CB"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FC87341"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7FA3CE3"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Pr="001C10C6">
        <w:rPr>
          <w:rFonts w:ascii="Arial" w:hAnsi="Arial" w:cs="Arial"/>
          <w:color w:val="000000"/>
          <w:lang w:val="en-GB" w:eastAsia="en-GB"/>
        </w:rPr>
        <w:t xml:space="preserve"> – to provide our electronic clinical system</w:t>
      </w:r>
    </w:p>
    <w:p w14:paraId="75FE93BF"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42770AEF"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0A0CB1">
        <w:rPr>
          <w:rFonts w:ascii="Arial" w:hAnsi="Arial" w:cs="Arial"/>
          <w:color w:val="000000"/>
          <w:lang w:val="en-GB" w:eastAsia="en-GB"/>
        </w:rPr>
        <w:t>Docman</w:t>
      </w:r>
      <w:r>
        <w:rPr>
          <w:rFonts w:ascii="Arial" w:hAnsi="Arial" w:cs="Arial"/>
          <w:color w:val="000000"/>
          <w:lang w:val="en-GB" w:eastAsia="en-GB"/>
        </w:rPr>
        <w:t>- to provide electronic reports for patient medical record</w:t>
      </w:r>
    </w:p>
    <w:p w14:paraId="6BEB5919"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Solicitors/Insurance companies- when you have made a request for them to do so</w:t>
      </w:r>
    </w:p>
    <w:p w14:paraId="3EC611F6"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pensions(DWP)- if you are claiming benefits</w:t>
      </w:r>
    </w:p>
    <w:p w14:paraId="4FABEA33" w14:textId="3DE6C7C5" w:rsidR="00396390" w:rsidRDefault="000476D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Accurx</w:t>
      </w:r>
      <w:r w:rsidR="00396390">
        <w:rPr>
          <w:rFonts w:ascii="Arial" w:hAnsi="Arial" w:cs="Arial"/>
          <w:color w:val="000000"/>
          <w:lang w:val="en-GB" w:eastAsia="en-GB"/>
        </w:rPr>
        <w:t>- provide a text message service to you</w:t>
      </w:r>
    </w:p>
    <w:p w14:paraId="11448C95" w14:textId="77777777" w:rsidR="00396390" w:rsidRPr="002C2659"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2C2659">
        <w:rPr>
          <w:rFonts w:ascii="Arial" w:hAnsi="Arial" w:cs="Arial"/>
          <w:color w:val="000000"/>
          <w:lang w:val="en-GB" w:eastAsia="en-GB"/>
        </w:rPr>
        <w:lastRenderedPageBreak/>
        <w:t>Oldham CCG</w:t>
      </w:r>
    </w:p>
    <w:p w14:paraId="0DD1F2BE" w14:textId="77777777" w:rsidR="00396390" w:rsidRP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Shred-It- </w:t>
      </w: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w:t>
      </w:r>
    </w:p>
    <w:p w14:paraId="4A5A28DB" w14:textId="77777777" w:rsidR="00396390" w:rsidRPr="00DB22FD"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lang w:val="en-GB" w:eastAsia="en-GB"/>
        </w:rPr>
        <w:t>Docmail- to securely send letters to patients</w:t>
      </w:r>
    </w:p>
    <w:p w14:paraId="7FDE3E7C"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Graphnet Health</w:t>
      </w:r>
    </w:p>
    <w:p w14:paraId="6A38A818" w14:textId="5584CDD9" w:rsidR="00E474F2" w:rsidRDefault="00E474F2"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Primary Care Network Hub</w:t>
      </w:r>
    </w:p>
    <w:p w14:paraId="4D7D7D3A" w14:textId="77777777" w:rsidR="00E474F2" w:rsidRPr="00E474F2" w:rsidRDefault="00E474F2" w:rsidP="00E474F2">
      <w:pPr>
        <w:jc w:val="both"/>
        <w:rPr>
          <w:rFonts w:ascii="Arial" w:hAnsi="Arial" w:cs="Arial"/>
          <w:b/>
          <w:bCs/>
          <w:color w:val="000000"/>
          <w:lang w:val="en-GB" w:eastAsia="en-GB"/>
        </w:rPr>
      </w:pPr>
      <w:r w:rsidRPr="00E474F2">
        <w:rPr>
          <w:rFonts w:ascii="Arial" w:hAnsi="Arial" w:cs="Arial"/>
          <w:b/>
          <w:bCs/>
          <w:color w:val="000000"/>
          <w:lang w:val="en-GB" w:eastAsia="en-GB"/>
        </w:rPr>
        <w:t>Primary Care Network Hub</w:t>
      </w:r>
    </w:p>
    <w:p w14:paraId="62D95420"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 xml:space="preserve">Booking an appointment for the Enhanced Access Service, which offers appointments evenings and Saturdays. </w:t>
      </w:r>
    </w:p>
    <w:p w14:paraId="50274CCA"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When you are offered an appointment at one of the Oldham North PCN Services you will be asked for your consent to share your medical records with the healthcare staff working in the service.</w:t>
      </w:r>
    </w:p>
    <w:p w14:paraId="6DF8DA76" w14:textId="77777777" w:rsid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Without this consent, you will not be able to be seen at the PCN Hub as the healthcare staff would not have access to your medical records and you will then need to wait for the next available appointment at your registered Practice.</w:t>
      </w:r>
    </w:p>
    <w:p w14:paraId="3B41F8C0" w14:textId="77777777" w:rsidR="00E474F2" w:rsidRDefault="00E474F2" w:rsidP="00E474F2">
      <w:pPr>
        <w:jc w:val="both"/>
        <w:rPr>
          <w:rFonts w:ascii="Arial" w:hAnsi="Arial" w:cs="Arial"/>
          <w:color w:val="000000"/>
          <w:lang w:val="en-GB" w:eastAsia="en-GB"/>
        </w:rPr>
      </w:pPr>
    </w:p>
    <w:p w14:paraId="5F0C6DED" w14:textId="6B887B8E" w:rsidR="00A75DFD" w:rsidRPr="00396390" w:rsidRDefault="00A75DFD" w:rsidP="00E474F2">
      <w:pPr>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7AE20A5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4CB3A55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22DBC11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638A92AC"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5629C718"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1BC7D2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5BD6650E"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4AEFB515" w14:textId="77777777"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6902CF27" w14:textId="77777777" w:rsidR="00E111DA" w:rsidRPr="00E111DA" w:rsidRDefault="00E111DA" w:rsidP="00E111DA">
      <w:pPr>
        <w:jc w:val="both"/>
        <w:rPr>
          <w:rFonts w:ascii="Arial" w:hAnsi="Arial" w:cs="Arial"/>
          <w:lang w:val="en-GB" w:eastAsia="en-GB"/>
        </w:rPr>
      </w:pPr>
    </w:p>
    <w:p w14:paraId="2BD1F3EB"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08755AA"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You have the </w:t>
      </w:r>
      <w:r w:rsidR="00CD6F14">
        <w:rPr>
          <w:rFonts w:ascii="Arial" w:hAnsi="Arial" w:cs="Arial"/>
          <w:lang w:val="en-GB" w:eastAsia="en-GB"/>
        </w:rPr>
        <w:t>following rights over your data we hold:</w:t>
      </w:r>
    </w:p>
    <w:p w14:paraId="52EE25AF"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5289CFE"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521B7DC3" w14:textId="77777777" w:rsidR="0033130A" w:rsidRPr="0033130A" w:rsidRDefault="003B7613" w:rsidP="0033130A">
      <w:pPr>
        <w:pStyle w:val="ListParagraph"/>
        <w:spacing w:before="100" w:beforeAutospacing="1" w:after="100" w:afterAutospacing="1"/>
        <w:jc w:val="both"/>
        <w:rPr>
          <w:rFonts w:ascii="Arial" w:hAnsi="Arial" w:cs="Arial"/>
          <w:lang w:val="en-GB" w:eastAsia="en-GB"/>
        </w:rPr>
      </w:pPr>
      <w:r>
        <w:rPr>
          <w:rFonts w:ascii="Arial" w:hAnsi="Arial" w:cs="Arial"/>
          <w:color w:val="000000"/>
          <w:lang w:val="en-GB" w:eastAsia="en-GB"/>
        </w:rPr>
        <w:t>General Enquiries on 0161 357 2315</w:t>
      </w:r>
    </w:p>
    <w:p w14:paraId="03B4723E"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C8F642E"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64030044"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22E1C73"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14:paraId="1E064943"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021FE8C8"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D31E872"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w:t>
      </w:r>
      <w:r w:rsidR="005B54E6" w:rsidRPr="005B54E6">
        <w:rPr>
          <w:rFonts w:ascii="Arial" w:hAnsi="Arial" w:cs="Arial"/>
          <w:lang w:val="en-US"/>
        </w:rPr>
        <w:lastRenderedPageBreak/>
        <w:t>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EAF2234" w14:textId="77777777" w:rsidR="003B7613" w:rsidRDefault="005E256A" w:rsidP="0033130A">
      <w:pPr>
        <w:spacing w:before="100" w:beforeAutospacing="1" w:after="100" w:afterAutospacing="1"/>
        <w:jc w:val="both"/>
        <w:rPr>
          <w:rFonts w:ascii="Arial" w:hAnsi="Arial" w:cs="Arial"/>
        </w:rPr>
      </w:pPr>
      <w:r w:rsidRPr="001C10C6">
        <w:rPr>
          <w:rFonts w:ascii="Arial" w:hAnsi="Arial" w:cs="Arial"/>
        </w:rPr>
        <w:t>If you wish to opt out of your data being processed and / or shared onwards with other organisations</w:t>
      </w:r>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p>
    <w:p w14:paraId="3FBFE5A1" w14:textId="77777777" w:rsidR="003B7613" w:rsidRPr="003B7613" w:rsidRDefault="003B7613" w:rsidP="003B7613">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09040B54"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B335953"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7BF6ADC0" w14:textId="77777777" w:rsidR="003B7613" w:rsidRDefault="00F049F3" w:rsidP="003B7613">
      <w:pPr>
        <w:jc w:val="both"/>
        <w:rPr>
          <w:rFonts w:ascii="Arial" w:hAnsi="Arial" w:cs="Arial"/>
          <w:lang w:val="en-GB" w:eastAsia="en-GB"/>
        </w:rPr>
      </w:pPr>
      <w:r>
        <w:rPr>
          <w:rFonts w:ascii="Arial" w:hAnsi="Arial" w:cs="Arial"/>
          <w:lang w:val="en-GB" w:eastAsia="en-GB"/>
        </w:rPr>
        <w:t xml:space="preserve">write to us at: </w:t>
      </w:r>
    </w:p>
    <w:p w14:paraId="41748E78" w14:textId="77777777" w:rsidR="0033130A" w:rsidRDefault="003B7613" w:rsidP="003B7613">
      <w:pPr>
        <w:jc w:val="both"/>
        <w:rPr>
          <w:rFonts w:ascii="Arial" w:hAnsi="Arial" w:cs="Arial"/>
          <w:color w:val="000000"/>
          <w:lang w:val="en-GB" w:eastAsia="en-GB"/>
        </w:rPr>
      </w:pPr>
      <w:r>
        <w:rPr>
          <w:rFonts w:ascii="Arial" w:hAnsi="Arial" w:cs="Arial"/>
          <w:color w:val="000000"/>
          <w:lang w:val="en-GB" w:eastAsia="en-GB"/>
        </w:rPr>
        <w:t>Royton &amp; Crompton Family Practice, Park Street, Royton, Oldham OL2 6QW</w:t>
      </w:r>
    </w:p>
    <w:p w14:paraId="2F8A64D7" w14:textId="77777777" w:rsidR="003B7613" w:rsidRDefault="003B7613" w:rsidP="003B7613">
      <w:pPr>
        <w:jc w:val="both"/>
        <w:rPr>
          <w:rFonts w:ascii="Arial" w:hAnsi="Arial" w:cs="Arial"/>
          <w:color w:val="000000"/>
          <w:lang w:val="en-GB" w:eastAsia="en-GB"/>
        </w:rPr>
      </w:pPr>
      <w:r>
        <w:rPr>
          <w:rFonts w:ascii="Arial" w:hAnsi="Arial" w:cs="Arial"/>
          <w:color w:val="000000"/>
          <w:lang w:val="en-GB" w:eastAsia="en-GB"/>
        </w:rPr>
        <w:t>Contact - Deborah Mayall or Vanessa Marr</w:t>
      </w:r>
    </w:p>
    <w:p w14:paraId="6B4B5E6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57073A6"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258CBC4"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14BFDA39"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06117B01" w14:textId="238DDF65"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67A884B7" w14:textId="77777777"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46F858E4" w14:textId="77777777" w:rsidR="003B7613" w:rsidRPr="003B7613" w:rsidRDefault="003B7613" w:rsidP="003B7613">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4076F8B2"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2F2FA4A6"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51CC41EE" w14:textId="77777777" w:rsidR="00411CA2" w:rsidRPr="00411CA2" w:rsidRDefault="00EF3874"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9" w:history="1">
        <w:r w:rsidR="00411CA2" w:rsidRPr="005C190C">
          <w:rPr>
            <w:rStyle w:val="Hyperlink"/>
            <w:rFonts w:ascii="Arial" w:hAnsi="Arial" w:cs="Arial"/>
            <w:lang w:val="en-GB" w:eastAsia="en-GB"/>
          </w:rPr>
          <w:t>Information Commissioners Office</w:t>
        </w:r>
      </w:hyperlink>
    </w:p>
    <w:p w14:paraId="240A2832" w14:textId="77777777" w:rsidR="00411CA2" w:rsidRPr="0015096E" w:rsidRDefault="00EF3874"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0" w:history="1">
        <w:r w:rsidR="00411CA2" w:rsidRPr="005C190C">
          <w:rPr>
            <w:rStyle w:val="Hyperlink"/>
            <w:rFonts w:ascii="Arial" w:hAnsi="Arial" w:cs="Arial"/>
            <w:lang w:val="en-GB" w:eastAsia="en-GB"/>
          </w:rPr>
          <w:t>Information Governance Alliance</w:t>
        </w:r>
      </w:hyperlink>
    </w:p>
    <w:p w14:paraId="34B4CCBF" w14:textId="77777777" w:rsidR="0015096E" w:rsidRPr="00411CA2" w:rsidRDefault="00EF3874"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15096E" w:rsidRPr="0015096E">
          <w:rPr>
            <w:rStyle w:val="Hyperlink"/>
            <w:rFonts w:ascii="Arial" w:hAnsi="Arial" w:cs="Arial"/>
            <w:lang w:val="en-GB" w:eastAsia="en-GB"/>
          </w:rPr>
          <w:t>NHS Digital National Data Opt Out Programme</w:t>
        </w:r>
      </w:hyperlink>
    </w:p>
    <w:p w14:paraId="171F9946" w14:textId="77777777" w:rsidR="00411CA2" w:rsidRPr="00411CA2" w:rsidRDefault="00EF3874"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247DCC2"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09ECDF83" w14:textId="77777777" w:rsidR="00411CA2" w:rsidRPr="00411CA2" w:rsidRDefault="00EF3874"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5F4760AE" w14:textId="77777777" w:rsidR="005C190C" w:rsidRPr="005C190C" w:rsidRDefault="00EF3874" w:rsidP="00A765F8">
      <w:pPr>
        <w:pStyle w:val="ListParagraph"/>
        <w:numPr>
          <w:ilvl w:val="0"/>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5054E6F9" w14:textId="77777777" w:rsidR="00C54FF7" w:rsidRPr="005C190C" w:rsidRDefault="00EF3874" w:rsidP="00A765F8">
      <w:pPr>
        <w:pStyle w:val="ListParagraph"/>
        <w:numPr>
          <w:ilvl w:val="1"/>
          <w:numId w:val="39"/>
        </w:numPr>
        <w:autoSpaceDE w:val="0"/>
        <w:autoSpaceDN w:val="0"/>
        <w:adjustRightInd w:val="0"/>
        <w:jc w:val="both"/>
        <w:rPr>
          <w:rFonts w:ascii="Arial" w:hAnsi="Arial" w:cs="Arial"/>
          <w:lang w:val="en-GB" w:eastAsia="en-GB"/>
        </w:rPr>
      </w:pPr>
      <w:hyperlink r:id="rId25" w:history="1">
        <w:r w:rsidR="00411CA2" w:rsidRPr="005C190C">
          <w:rPr>
            <w:rStyle w:val="Hyperlink"/>
            <w:rFonts w:ascii="Arial" w:hAnsi="Arial" w:cs="Arial"/>
            <w:lang w:val="en-GB" w:eastAsia="en-GB"/>
          </w:rPr>
          <w:t>Health Research Authority Confidentiality Advisory Group (CAG)</w:t>
        </w:r>
      </w:hyperlink>
    </w:p>
    <w:p w14:paraId="642DD0A5"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0476D0">
      <w:headerReference w:type="default" r:id="rId26"/>
      <w:footerReference w:type="default" r:id="rId27"/>
      <w:pgSz w:w="11900" w:h="16840"/>
      <w:pgMar w:top="720" w:right="720" w:bottom="720" w:left="720" w:header="709" w:footer="83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47A6" w14:textId="77777777" w:rsidR="009175FC" w:rsidRDefault="009175FC" w:rsidP="00BB4A7A">
      <w:r>
        <w:separator/>
      </w:r>
    </w:p>
  </w:endnote>
  <w:endnote w:type="continuationSeparator" w:id="0">
    <w:p w14:paraId="542D084B" w14:textId="77777777" w:rsidR="009175FC" w:rsidRDefault="009175FC"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FE2" w14:textId="77777777" w:rsidR="00AC4BC1" w:rsidRDefault="00AC4BC1" w:rsidP="00C54FF7">
    <w:pPr>
      <w:pStyle w:val="Footer"/>
      <w:tabs>
        <w:tab w:val="clear" w:pos="8640"/>
        <w:tab w:val="right" w:pos="9923"/>
      </w:tabs>
      <w:rPr>
        <w:rFonts w:ascii="Arial" w:hAnsi="Arial" w:cs="Arial"/>
        <w:b/>
        <w:i/>
        <w:noProof/>
        <w:color w:val="A6A6A6" w:themeColor="background1" w:themeShade="A6"/>
        <w:sz w:val="20"/>
        <w:szCs w:val="20"/>
        <w:lang w:val="en-GB" w:eastAsia="en-GB"/>
      </w:rPr>
    </w:pPr>
    <w:r>
      <w:rPr>
        <w:rFonts w:ascii="Arial" w:hAnsi="Arial" w:cs="Arial"/>
        <w:b/>
        <w:i/>
        <w:noProof/>
        <w:color w:val="A6A6A6" w:themeColor="background1" w:themeShade="A6"/>
        <w:sz w:val="20"/>
        <w:szCs w:val="20"/>
        <w:lang w:val="en-GB" w:eastAsia="en-GB"/>
      </w:rPr>
      <w:t>Royton &amp; Crompton Family Practice</w:t>
    </w:r>
  </w:p>
  <w:p w14:paraId="3908C9DA"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510890">
      <w:rPr>
        <w:rFonts w:ascii="Arial" w:hAnsi="Arial" w:cs="Arial"/>
        <w:i/>
        <w:noProof/>
        <w:color w:val="A6A6A6" w:themeColor="background1" w:themeShade="A6"/>
        <w:sz w:val="20"/>
        <w:szCs w:val="20"/>
      </w:rPr>
      <w:t>7</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06FC" w14:textId="77777777" w:rsidR="009175FC" w:rsidRDefault="009175FC" w:rsidP="00BB4A7A">
      <w:r>
        <w:separator/>
      </w:r>
    </w:p>
  </w:footnote>
  <w:footnote w:type="continuationSeparator" w:id="0">
    <w:p w14:paraId="288253F6" w14:textId="77777777" w:rsidR="009175FC" w:rsidRDefault="009175FC"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672" w14:textId="27363422" w:rsidR="00A765F8" w:rsidRDefault="00C41B55" w:rsidP="000476D0">
    <w:pPr>
      <w:pStyle w:val="Header"/>
      <w:jc w:val="center"/>
      <w:rPr>
        <w:noProof/>
        <w:lang w:val="en-GB" w:eastAsia="en-GB"/>
      </w:rPr>
    </w:pPr>
    <w:r>
      <w:rPr>
        <w:noProof/>
      </w:rPr>
      <w:drawing>
        <wp:inline distT="0" distB="0" distL="0" distR="0" wp14:anchorId="5C9B13A4" wp14:editId="2872E8FF">
          <wp:extent cx="5821945" cy="111318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89132" cy="1126029"/>
                  </a:xfrm>
                  <a:prstGeom prst="rect">
                    <a:avLst/>
                  </a:prstGeom>
                </pic:spPr>
              </pic:pic>
            </a:graphicData>
          </a:graphic>
        </wp:inline>
      </w:drawing>
    </w:r>
  </w:p>
  <w:p w14:paraId="7F0FC082" w14:textId="4DE76730"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0476D0">
      <w:rPr>
        <w:rFonts w:ascii="Arial" w:hAnsi="Arial" w:cs="Arial"/>
        <w:noProof/>
        <w:color w:val="808080" w:themeColor="background1" w:themeShade="80"/>
        <w:sz w:val="20"/>
        <w:szCs w:val="20"/>
        <w:lang w:val="en-GB" w:eastAsia="en-GB"/>
      </w:rPr>
      <w:t>7</w:t>
    </w:r>
    <w:r>
      <w:rPr>
        <w:rFonts w:ascii="Arial" w:hAnsi="Arial" w:cs="Arial"/>
        <w:noProof/>
        <w:color w:val="808080" w:themeColor="background1" w:themeShade="80"/>
        <w:sz w:val="20"/>
        <w:szCs w:val="20"/>
        <w:lang w:val="en-GB" w:eastAsia="en-GB"/>
      </w:rPr>
      <w:t xml:space="preserve"> – </w:t>
    </w:r>
    <w:r w:rsidR="000476D0">
      <w:rPr>
        <w:rFonts w:ascii="Arial" w:hAnsi="Arial" w:cs="Arial"/>
        <w:noProof/>
        <w:color w:val="808080" w:themeColor="background1" w:themeShade="80"/>
        <w:sz w:val="20"/>
        <w:szCs w:val="20"/>
        <w:lang w:val="en-GB" w:eastAsia="en-GB"/>
      </w:rPr>
      <w:t>July</w:t>
    </w:r>
    <w:r w:rsidR="00A57CB0">
      <w:rPr>
        <w:rFonts w:ascii="Arial" w:hAnsi="Arial" w:cs="Arial"/>
        <w:noProof/>
        <w:color w:val="808080" w:themeColor="background1" w:themeShade="80"/>
        <w:sz w:val="20"/>
        <w:szCs w:val="20"/>
        <w:lang w:val="en-GB" w:eastAsia="en-GB"/>
      </w:rPr>
      <w:t xml:space="preserve"> 20</w:t>
    </w:r>
    <w:r w:rsidR="000476D0">
      <w:rPr>
        <w:rFonts w:ascii="Arial" w:hAnsi="Arial" w:cs="Arial"/>
        <w:noProof/>
        <w:color w:val="808080" w:themeColor="background1" w:themeShade="80"/>
        <w:sz w:val="20"/>
        <w:szCs w:val="20"/>
        <w:lang w:val="en-GB" w:eastAsia="en-GB"/>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11248">
    <w:abstractNumId w:val="0"/>
  </w:num>
  <w:num w:numId="2" w16cid:durableId="930893869">
    <w:abstractNumId w:val="10"/>
  </w:num>
  <w:num w:numId="3" w16cid:durableId="133714972">
    <w:abstractNumId w:val="8"/>
  </w:num>
  <w:num w:numId="4" w16cid:durableId="776559061">
    <w:abstractNumId w:val="7"/>
  </w:num>
  <w:num w:numId="5" w16cid:durableId="66735937">
    <w:abstractNumId w:val="6"/>
  </w:num>
  <w:num w:numId="6" w16cid:durableId="1636447922">
    <w:abstractNumId w:val="5"/>
  </w:num>
  <w:num w:numId="7" w16cid:durableId="734935104">
    <w:abstractNumId w:val="9"/>
  </w:num>
  <w:num w:numId="8" w16cid:durableId="1026518171">
    <w:abstractNumId w:val="4"/>
  </w:num>
  <w:num w:numId="9" w16cid:durableId="65349165">
    <w:abstractNumId w:val="3"/>
  </w:num>
  <w:num w:numId="10" w16cid:durableId="213781320">
    <w:abstractNumId w:val="2"/>
  </w:num>
  <w:num w:numId="11" w16cid:durableId="997919537">
    <w:abstractNumId w:val="1"/>
  </w:num>
  <w:num w:numId="12" w16cid:durableId="1151561497">
    <w:abstractNumId w:val="11"/>
  </w:num>
  <w:num w:numId="13" w16cid:durableId="497503267">
    <w:abstractNumId w:val="39"/>
  </w:num>
  <w:num w:numId="14" w16cid:durableId="971713618">
    <w:abstractNumId w:val="28"/>
  </w:num>
  <w:num w:numId="15" w16cid:durableId="1072510289">
    <w:abstractNumId w:val="18"/>
  </w:num>
  <w:num w:numId="16" w16cid:durableId="1574897801">
    <w:abstractNumId w:val="23"/>
  </w:num>
  <w:num w:numId="17" w16cid:durableId="486095695">
    <w:abstractNumId w:val="21"/>
  </w:num>
  <w:num w:numId="18" w16cid:durableId="1637174442">
    <w:abstractNumId w:val="24"/>
  </w:num>
  <w:num w:numId="19" w16cid:durableId="1495875973">
    <w:abstractNumId w:val="34"/>
  </w:num>
  <w:num w:numId="20" w16cid:durableId="377752210">
    <w:abstractNumId w:val="29"/>
  </w:num>
  <w:num w:numId="21" w16cid:durableId="136143698">
    <w:abstractNumId w:val="25"/>
  </w:num>
  <w:num w:numId="22" w16cid:durableId="2075465230">
    <w:abstractNumId w:val="13"/>
  </w:num>
  <w:num w:numId="23" w16cid:durableId="844368604">
    <w:abstractNumId w:val="41"/>
  </w:num>
  <w:num w:numId="24" w16cid:durableId="1995329749">
    <w:abstractNumId w:val="14"/>
  </w:num>
  <w:num w:numId="25" w16cid:durableId="1565526604">
    <w:abstractNumId w:val="27"/>
  </w:num>
  <w:num w:numId="26" w16cid:durableId="121584296">
    <w:abstractNumId w:val="15"/>
  </w:num>
  <w:num w:numId="27" w16cid:durableId="1497763226">
    <w:abstractNumId w:val="32"/>
  </w:num>
  <w:num w:numId="28" w16cid:durableId="988942346">
    <w:abstractNumId w:val="43"/>
  </w:num>
  <w:num w:numId="29" w16cid:durableId="1695576895">
    <w:abstractNumId w:val="40"/>
  </w:num>
  <w:num w:numId="30" w16cid:durableId="632710388">
    <w:abstractNumId w:val="37"/>
  </w:num>
  <w:num w:numId="31" w16cid:durableId="76441639">
    <w:abstractNumId w:val="22"/>
  </w:num>
  <w:num w:numId="32" w16cid:durableId="886649165">
    <w:abstractNumId w:val="20"/>
  </w:num>
  <w:num w:numId="33" w16cid:durableId="791628897">
    <w:abstractNumId w:val="12"/>
  </w:num>
  <w:num w:numId="34" w16cid:durableId="1956865018">
    <w:abstractNumId w:val="17"/>
  </w:num>
  <w:num w:numId="35" w16cid:durableId="1028528507">
    <w:abstractNumId w:val="35"/>
  </w:num>
  <w:num w:numId="36" w16cid:durableId="2091342877">
    <w:abstractNumId w:val="31"/>
  </w:num>
  <w:num w:numId="37" w16cid:durableId="978192662">
    <w:abstractNumId w:val="16"/>
  </w:num>
  <w:num w:numId="38" w16cid:durableId="977221972">
    <w:abstractNumId w:val="36"/>
  </w:num>
  <w:num w:numId="39" w16cid:durableId="635719967">
    <w:abstractNumId w:val="38"/>
  </w:num>
  <w:num w:numId="40" w16cid:durableId="1166478626">
    <w:abstractNumId w:val="33"/>
  </w:num>
  <w:num w:numId="41" w16cid:durableId="1288849644">
    <w:abstractNumId w:val="26"/>
  </w:num>
  <w:num w:numId="42" w16cid:durableId="2116557941">
    <w:abstractNumId w:val="42"/>
  </w:num>
  <w:num w:numId="43" w16cid:durableId="163321532">
    <w:abstractNumId w:val="30"/>
  </w:num>
  <w:num w:numId="44" w16cid:durableId="1413359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76D0"/>
    <w:rsid w:val="00053DF9"/>
    <w:rsid w:val="0008442E"/>
    <w:rsid w:val="00084993"/>
    <w:rsid w:val="000C2DB1"/>
    <w:rsid w:val="00117944"/>
    <w:rsid w:val="001264BE"/>
    <w:rsid w:val="00131AB5"/>
    <w:rsid w:val="0014680E"/>
    <w:rsid w:val="0015096E"/>
    <w:rsid w:val="00157FD9"/>
    <w:rsid w:val="00164184"/>
    <w:rsid w:val="001715D6"/>
    <w:rsid w:val="00172786"/>
    <w:rsid w:val="00187371"/>
    <w:rsid w:val="00193793"/>
    <w:rsid w:val="001A2F09"/>
    <w:rsid w:val="001C10C6"/>
    <w:rsid w:val="001C3CBC"/>
    <w:rsid w:val="001D5AD4"/>
    <w:rsid w:val="001E072B"/>
    <w:rsid w:val="001F7727"/>
    <w:rsid w:val="001F7A3D"/>
    <w:rsid w:val="0020545E"/>
    <w:rsid w:val="00210814"/>
    <w:rsid w:val="00217531"/>
    <w:rsid w:val="0022391D"/>
    <w:rsid w:val="00253CC6"/>
    <w:rsid w:val="00257715"/>
    <w:rsid w:val="00266EFE"/>
    <w:rsid w:val="002C3FBA"/>
    <w:rsid w:val="002F1D5C"/>
    <w:rsid w:val="003047FB"/>
    <w:rsid w:val="0033130A"/>
    <w:rsid w:val="00362BDF"/>
    <w:rsid w:val="0036647B"/>
    <w:rsid w:val="00380BFD"/>
    <w:rsid w:val="00392E0F"/>
    <w:rsid w:val="00396390"/>
    <w:rsid w:val="003A11C8"/>
    <w:rsid w:val="003A2030"/>
    <w:rsid w:val="003B29EA"/>
    <w:rsid w:val="003B7613"/>
    <w:rsid w:val="00411CA2"/>
    <w:rsid w:val="004353D6"/>
    <w:rsid w:val="00444F1A"/>
    <w:rsid w:val="00472F3B"/>
    <w:rsid w:val="004752DF"/>
    <w:rsid w:val="00481375"/>
    <w:rsid w:val="00485A73"/>
    <w:rsid w:val="00495932"/>
    <w:rsid w:val="004C0E83"/>
    <w:rsid w:val="004D2CAF"/>
    <w:rsid w:val="004E1FBD"/>
    <w:rsid w:val="004E7AE4"/>
    <w:rsid w:val="00510890"/>
    <w:rsid w:val="00534297"/>
    <w:rsid w:val="005544F9"/>
    <w:rsid w:val="00570AF8"/>
    <w:rsid w:val="00583C97"/>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647C8"/>
    <w:rsid w:val="00871399"/>
    <w:rsid w:val="00875E13"/>
    <w:rsid w:val="00892321"/>
    <w:rsid w:val="00895AFF"/>
    <w:rsid w:val="008A6D07"/>
    <w:rsid w:val="008E243D"/>
    <w:rsid w:val="008E45E3"/>
    <w:rsid w:val="008F49CA"/>
    <w:rsid w:val="008F5744"/>
    <w:rsid w:val="009175FC"/>
    <w:rsid w:val="009330C2"/>
    <w:rsid w:val="009417ED"/>
    <w:rsid w:val="00961C24"/>
    <w:rsid w:val="00996E51"/>
    <w:rsid w:val="009A124E"/>
    <w:rsid w:val="009B3315"/>
    <w:rsid w:val="009B575E"/>
    <w:rsid w:val="009D6B53"/>
    <w:rsid w:val="009E64E6"/>
    <w:rsid w:val="009E7898"/>
    <w:rsid w:val="009F4AF1"/>
    <w:rsid w:val="00A113FA"/>
    <w:rsid w:val="00A16D10"/>
    <w:rsid w:val="00A52235"/>
    <w:rsid w:val="00A57CB0"/>
    <w:rsid w:val="00A75DFD"/>
    <w:rsid w:val="00A765F8"/>
    <w:rsid w:val="00A86A8A"/>
    <w:rsid w:val="00A9037B"/>
    <w:rsid w:val="00AB417E"/>
    <w:rsid w:val="00AC4BC1"/>
    <w:rsid w:val="00AD4007"/>
    <w:rsid w:val="00B17D87"/>
    <w:rsid w:val="00B31554"/>
    <w:rsid w:val="00B35D96"/>
    <w:rsid w:val="00B40659"/>
    <w:rsid w:val="00B563B4"/>
    <w:rsid w:val="00B72F20"/>
    <w:rsid w:val="00B807FF"/>
    <w:rsid w:val="00BA2A56"/>
    <w:rsid w:val="00BB1F50"/>
    <w:rsid w:val="00BB4A7A"/>
    <w:rsid w:val="00BB73FA"/>
    <w:rsid w:val="00BC619F"/>
    <w:rsid w:val="00BF1BE4"/>
    <w:rsid w:val="00BF6E08"/>
    <w:rsid w:val="00C10C74"/>
    <w:rsid w:val="00C17657"/>
    <w:rsid w:val="00C20B04"/>
    <w:rsid w:val="00C24D11"/>
    <w:rsid w:val="00C26262"/>
    <w:rsid w:val="00C41B55"/>
    <w:rsid w:val="00C54FF7"/>
    <w:rsid w:val="00C7278E"/>
    <w:rsid w:val="00C731AD"/>
    <w:rsid w:val="00C865B8"/>
    <w:rsid w:val="00CA2FB7"/>
    <w:rsid w:val="00CC0F64"/>
    <w:rsid w:val="00CD3A00"/>
    <w:rsid w:val="00CD6F14"/>
    <w:rsid w:val="00D1103C"/>
    <w:rsid w:val="00D14259"/>
    <w:rsid w:val="00D429B6"/>
    <w:rsid w:val="00D54AAF"/>
    <w:rsid w:val="00D707C1"/>
    <w:rsid w:val="00D81EA2"/>
    <w:rsid w:val="00D945EB"/>
    <w:rsid w:val="00D9526C"/>
    <w:rsid w:val="00DA714C"/>
    <w:rsid w:val="00DB22FD"/>
    <w:rsid w:val="00DD21E6"/>
    <w:rsid w:val="00DE7ED4"/>
    <w:rsid w:val="00E111DA"/>
    <w:rsid w:val="00E32E31"/>
    <w:rsid w:val="00E474F2"/>
    <w:rsid w:val="00E5124D"/>
    <w:rsid w:val="00E5162C"/>
    <w:rsid w:val="00E71415"/>
    <w:rsid w:val="00E92189"/>
    <w:rsid w:val="00EA060A"/>
    <w:rsid w:val="00ED2724"/>
    <w:rsid w:val="00EE3153"/>
    <w:rsid w:val="00EE7516"/>
    <w:rsid w:val="00EF3874"/>
    <w:rsid w:val="00F049F3"/>
    <w:rsid w:val="00F053DD"/>
    <w:rsid w:val="00F272D9"/>
    <w:rsid w:val="00F32726"/>
    <w:rsid w:val="00F35112"/>
    <w:rsid w:val="00F53904"/>
    <w:rsid w:val="00F5746A"/>
    <w:rsid w:val="00F60668"/>
    <w:rsid w:val="00FC6E06"/>
    <w:rsid w:val="00FD26B2"/>
    <w:rsid w:val="00FD3C4F"/>
    <w:rsid w:val="00FD7C17"/>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C2DE269"/>
  <w15:docId w15:val="{FD9309C0-44A7-46D5-A10E-ABF4FC88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420491320">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884293479">
      <w:bodyDiv w:val="1"/>
      <w:marLeft w:val="0"/>
      <w:marRight w:val="0"/>
      <w:marTop w:val="0"/>
      <w:marBottom w:val="0"/>
      <w:divBdr>
        <w:top w:val="none" w:sz="0" w:space="0" w:color="auto"/>
        <w:left w:val="none" w:sz="0" w:space="0" w:color="auto"/>
        <w:bottom w:val="none" w:sz="0" w:space="0" w:color="auto"/>
        <w:right w:val="none" w:sz="0" w:space="0" w:color="auto"/>
      </w:divBdr>
    </w:div>
    <w:div w:id="209612351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image" Target="media/image1.png"/><Relationship Id="rId18" Type="http://schemas.openxmlformats.org/officeDocument/2006/relationships/hyperlink" Target="http://www.ico.org.uk/concer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looking-after-information/data-security-and-information-governance/information-governance-alliance-i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hra.nhs.uk/"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8" Type="http://schemas.openxmlformats.org/officeDocument/2006/relationships/fontTable" Target="fontTable.xml"/><Relationship Id="rId10" Type="http://schemas.openxmlformats.org/officeDocument/2006/relationships/hyperlink" Target="https://understandingpatientdata.org.uk/what-you-need-know"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EC29-A41D-41D7-AA8A-4E7A4007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5977</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38974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MOORES, Donna (THE ROYTON &amp; CROMPTON FAMILY PRACTICE)</cp:lastModifiedBy>
  <cp:revision>6</cp:revision>
  <dcterms:created xsi:type="dcterms:W3CDTF">2024-06-25T13:54:00Z</dcterms:created>
  <dcterms:modified xsi:type="dcterms:W3CDTF">2024-07-11T12:49:00Z</dcterms:modified>
</cp:coreProperties>
</file>